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42" w:rsidRPr="00D44097" w:rsidRDefault="00D44097" w:rsidP="00D44097">
      <w:pPr>
        <w:bidi/>
        <w:spacing w:before="100" w:beforeAutospacing="1" w:after="100" w:afterAutospacing="1"/>
        <w:jc w:val="center"/>
        <w:rPr>
          <w:rFonts w:ascii="Times New Roman" w:eastAsia="Times New Roman" w:hAnsi="Times New Roman" w:cs="Sultan normal"/>
          <w:b/>
          <w:bCs/>
          <w:sz w:val="72"/>
          <w:szCs w:val="72"/>
          <w:lang w:eastAsia="fr-FR"/>
        </w:rPr>
      </w:pPr>
      <w:r w:rsidRPr="00D44097">
        <w:rPr>
          <w:rFonts w:ascii="Times New Roman" w:eastAsia="Times New Roman" w:hAnsi="Times New Roman" w:cs="Sultan normal" w:hint="cs"/>
          <w:b/>
          <w:bCs/>
          <w:sz w:val="72"/>
          <w:szCs w:val="72"/>
          <w:rtl/>
          <w:lang w:eastAsia="fr-FR"/>
        </w:rPr>
        <w:t>الهيكـل</w:t>
      </w:r>
      <w:r w:rsidRPr="00D44097">
        <w:rPr>
          <w:rFonts w:ascii="Times New Roman" w:eastAsia="Times New Roman" w:hAnsi="Times New Roman" w:cs="Sultan normal"/>
          <w:b/>
          <w:bCs/>
          <w:sz w:val="72"/>
          <w:szCs w:val="72"/>
          <w:rtl/>
          <w:lang w:eastAsia="fr-FR"/>
        </w:rPr>
        <w:t xml:space="preserve"> </w:t>
      </w:r>
      <w:r w:rsidRPr="00D44097">
        <w:rPr>
          <w:rFonts w:ascii="Times New Roman" w:eastAsia="Times New Roman" w:hAnsi="Times New Roman" w:cs="Sultan normal" w:hint="cs"/>
          <w:b/>
          <w:bCs/>
          <w:sz w:val="72"/>
          <w:szCs w:val="72"/>
          <w:rtl/>
          <w:lang w:eastAsia="fr-FR"/>
        </w:rPr>
        <w:t>التنظيمـي</w:t>
      </w:r>
      <w:r w:rsidRPr="00D44097">
        <w:rPr>
          <w:rFonts w:ascii="Times New Roman" w:eastAsia="Times New Roman" w:hAnsi="Times New Roman" w:cs="Sultan normal"/>
          <w:b/>
          <w:bCs/>
          <w:sz w:val="72"/>
          <w:szCs w:val="72"/>
          <w:rtl/>
          <w:lang w:eastAsia="fr-FR"/>
        </w:rPr>
        <w:t xml:space="preserve"> </w:t>
      </w:r>
      <w:r w:rsidRPr="00D44097">
        <w:rPr>
          <w:rFonts w:ascii="Times New Roman" w:eastAsia="Times New Roman" w:hAnsi="Times New Roman" w:cs="Sultan normal" w:hint="cs"/>
          <w:b/>
          <w:bCs/>
          <w:sz w:val="72"/>
          <w:szCs w:val="72"/>
          <w:rtl/>
          <w:lang w:eastAsia="fr-FR"/>
        </w:rPr>
        <w:t>لنيابة</w:t>
      </w:r>
      <w:r w:rsidRPr="00D44097">
        <w:rPr>
          <w:rFonts w:ascii="Times New Roman" w:eastAsia="Times New Roman" w:hAnsi="Times New Roman" w:cs="Sultan normal"/>
          <w:b/>
          <w:bCs/>
          <w:sz w:val="72"/>
          <w:szCs w:val="72"/>
          <w:rtl/>
          <w:lang w:eastAsia="fr-FR"/>
        </w:rPr>
        <w:t xml:space="preserve"> </w:t>
      </w:r>
      <w:r w:rsidRPr="00D44097">
        <w:rPr>
          <w:rFonts w:ascii="Times New Roman" w:eastAsia="Times New Roman" w:hAnsi="Times New Roman" w:cs="Sultan normal" w:hint="cs"/>
          <w:b/>
          <w:bCs/>
          <w:sz w:val="72"/>
          <w:szCs w:val="72"/>
          <w:rtl/>
          <w:lang w:eastAsia="fr-FR"/>
        </w:rPr>
        <w:t>مديرية</w:t>
      </w:r>
      <w:r w:rsidRPr="00D44097">
        <w:rPr>
          <w:rFonts w:ascii="Times New Roman" w:eastAsia="Times New Roman" w:hAnsi="Times New Roman" w:cs="Sultan normal"/>
          <w:b/>
          <w:bCs/>
          <w:sz w:val="72"/>
          <w:szCs w:val="72"/>
          <w:rtl/>
          <w:lang w:eastAsia="fr-FR"/>
        </w:rPr>
        <w:t xml:space="preserve"> </w:t>
      </w:r>
      <w:r w:rsidRPr="00D44097">
        <w:rPr>
          <w:rFonts w:ascii="Times New Roman" w:eastAsia="Times New Roman" w:hAnsi="Times New Roman" w:cs="Sultan normal" w:hint="cs"/>
          <w:b/>
          <w:bCs/>
          <w:sz w:val="72"/>
          <w:szCs w:val="72"/>
          <w:rtl/>
          <w:lang w:eastAsia="fr-FR"/>
        </w:rPr>
        <w:t>الجامعة</w:t>
      </w:r>
    </w:p>
    <w:p w:rsidR="0066734C" w:rsidRDefault="0066734C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C5697D" w:rsidRDefault="00C5697D" w:rsidP="00C5697D">
      <w:pPr>
        <w:bidi/>
        <w:jc w:val="left"/>
        <w:rPr>
          <w:rtl/>
          <w:lang w:bidi="ar-DZ"/>
        </w:rPr>
      </w:pPr>
    </w:p>
    <w:p w:rsidR="00C5697D" w:rsidRDefault="00C5697D" w:rsidP="00C5697D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8E4533" w:rsidP="00D80342">
      <w:pPr>
        <w:bidi/>
        <w:jc w:val="left"/>
        <w:rPr>
          <w:rtl/>
          <w:lang w:bidi="ar-DZ"/>
        </w:rPr>
      </w:pPr>
      <w:r>
        <w:rPr>
          <w:noProof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95pt;margin-top:6.05pt;width:488.8pt;height:110.6pt;z-index:251660288;mso-width-relative:margin;mso-height-relative:margin" fillcolor="white [3201]" strokecolor="#92cddc [1944]" strokeweight="1pt">
            <v:fill color2="#b6dde8 [1304]" focusposition="1" focussize="" focus="100%" type="gradient"/>
            <v:shadow on="t" color="#205867 [1608]" opacity=".5" offset="6pt,-6pt"/>
            <v:textbox>
              <w:txbxContent>
                <w:p w:rsidR="00D80342" w:rsidRPr="00D80342" w:rsidRDefault="00D80342" w:rsidP="00D80342">
                  <w:pPr>
                    <w:bidi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Sultan normal"/>
                      <w:sz w:val="36"/>
                      <w:szCs w:val="36"/>
                      <w:lang w:eastAsia="fr-FR"/>
                    </w:rPr>
                  </w:pPr>
                  <w:r w:rsidRPr="00D80342">
                    <w:rPr>
                      <w:rFonts w:ascii="Times New Roman" w:eastAsia="Times New Roman" w:hAnsi="Times New Roman" w:cs="Sultan normal" w:hint="cs"/>
                      <w:b/>
                      <w:bCs/>
                      <w:sz w:val="36"/>
                      <w:szCs w:val="36"/>
                      <w:rtl/>
                      <w:lang w:eastAsia="fr-FR"/>
                    </w:rPr>
                    <w:t>ن</w:t>
                  </w:r>
                  <w:r w:rsidRPr="00D80342">
                    <w:rPr>
                      <w:rFonts w:ascii="Times New Roman" w:eastAsia="Times New Roman" w:hAnsi="Times New Roman" w:cs="Sultan normal"/>
                      <w:b/>
                      <w:bCs/>
                      <w:sz w:val="36"/>
                      <w:szCs w:val="36"/>
                      <w:rtl/>
                      <w:lang w:eastAsia="fr-FR"/>
                    </w:rPr>
                    <w:t xml:space="preserve">ـيابـة مديريـة الجامعـة للتكويـن العالـي فـي ما بعـد التـدرج </w:t>
                  </w:r>
                  <w:proofErr w:type="gramStart"/>
                  <w:r w:rsidRPr="00D80342">
                    <w:rPr>
                      <w:rFonts w:ascii="Times New Roman" w:eastAsia="Times New Roman" w:hAnsi="Times New Roman" w:cs="Sultan normal"/>
                      <w:b/>
                      <w:bCs/>
                      <w:sz w:val="36"/>
                      <w:szCs w:val="36"/>
                      <w:rtl/>
                      <w:lang w:eastAsia="fr-FR"/>
                    </w:rPr>
                    <w:t>والتأهيـل</w:t>
                  </w:r>
                  <w:proofErr w:type="gramEnd"/>
                  <w:r w:rsidRPr="00D80342">
                    <w:rPr>
                      <w:rFonts w:ascii="Times New Roman" w:eastAsia="Times New Roman" w:hAnsi="Times New Roman" w:cs="Sultan normal"/>
                      <w:b/>
                      <w:bCs/>
                      <w:sz w:val="36"/>
                      <w:szCs w:val="36"/>
                      <w:rtl/>
                      <w:lang w:eastAsia="fr-FR"/>
                    </w:rPr>
                    <w:t xml:space="preserve"> الجامعي والبحث العلمي</w:t>
                  </w:r>
                </w:p>
                <w:p w:rsidR="00D80342" w:rsidRPr="00D80342" w:rsidRDefault="00D80342" w:rsidP="00D80342">
                  <w:pPr>
                    <w:jc w:val="center"/>
                    <w:rPr>
                      <w:sz w:val="36"/>
                      <w:szCs w:val="36"/>
                    </w:rPr>
                  </w:pPr>
                  <w:r w:rsidRPr="00D8034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Vice-rectorat de la formation supérieure de post-graduation, de l’habilitation universitaire et de la recherche scientifique</w:t>
                  </w:r>
                </w:p>
              </w:txbxContent>
            </v:textbox>
          </v:shape>
        </w:pict>
      </w: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Default="00D80342" w:rsidP="00D80342">
      <w:pPr>
        <w:bidi/>
        <w:jc w:val="left"/>
        <w:rPr>
          <w:rtl/>
          <w:lang w:bidi="ar-DZ"/>
        </w:rPr>
      </w:pPr>
    </w:p>
    <w:p w:rsidR="00D80342" w:rsidRPr="00D80342" w:rsidRDefault="008E4533" w:rsidP="00D80342">
      <w:pPr>
        <w:bidi/>
        <w:jc w:val="left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6.35pt;margin-top:14.45pt;width:0;height:49.3pt;z-index:251664384" o:connectortype="straight" strokeweight="2pt">
            <v:stroke endarrow="block"/>
          </v:shape>
        </w:pict>
      </w:r>
      <w:r>
        <w:rPr>
          <w:noProof/>
          <w:rtl/>
          <w:lang w:eastAsia="fr-FR"/>
        </w:rPr>
        <w:pict>
          <v:shape id="_x0000_s1029" type="#_x0000_t202" style="position:absolute;left:0;text-align:left;margin-left:255.35pt;margin-top:65.75pt;width:243pt;height:121.6pt;z-index:251662336;mso-width-relative:margin;mso-height-relative:margin" fillcolor="white [3201]" strokecolor="#b2a1c7 [1943]" strokeweight="1pt">
            <v:fill color2="#ccc0d9 [1303]" focusposition="1" focussize="" focus="100%" type="gradient"/>
            <v:shadow on="t" color="#3f3151 [1607]" opacity=".5" offset="6pt,-6pt"/>
            <v:textbox>
              <w:txbxContent>
                <w:p w:rsidR="00C5697D" w:rsidRPr="00D80342" w:rsidRDefault="00C5697D" w:rsidP="00C5697D">
                  <w:pPr>
                    <w:jc w:val="center"/>
                    <w:rPr>
                      <w:rFonts w:ascii="Times New Roman" w:eastAsia="Times New Roman" w:hAnsi="Times New Roman" w:cs="Sultan normal"/>
                      <w:sz w:val="36"/>
                      <w:szCs w:val="36"/>
                      <w:lang w:eastAsia="fr-FR"/>
                    </w:rPr>
                  </w:pPr>
                  <w:proofErr w:type="gramStart"/>
                  <w:r w:rsidRPr="00D80342">
                    <w:rPr>
                      <w:rFonts w:ascii="Times New Roman" w:eastAsia="Times New Roman" w:hAnsi="Times New Roman" w:cs="Sultan normal"/>
                      <w:sz w:val="36"/>
                      <w:szCs w:val="36"/>
                      <w:rtl/>
                      <w:lang w:eastAsia="fr-FR"/>
                    </w:rPr>
                    <w:t>مصلحة</w:t>
                  </w:r>
                  <w:proofErr w:type="gramEnd"/>
                  <w:r w:rsidRPr="00D80342">
                    <w:rPr>
                      <w:rFonts w:ascii="Times New Roman" w:eastAsia="Times New Roman" w:hAnsi="Times New Roman" w:cs="Sultan normal"/>
                      <w:sz w:val="36"/>
                      <w:szCs w:val="36"/>
                      <w:rtl/>
                      <w:lang w:eastAsia="fr-FR"/>
                    </w:rPr>
                    <w:t xml:space="preserve"> التأهيل الجامعي</w:t>
                  </w:r>
                </w:p>
                <w:p w:rsidR="00C5697D" w:rsidRPr="00D80342" w:rsidRDefault="00C5697D" w:rsidP="00C5697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C5697D" w:rsidRPr="00C5697D" w:rsidRDefault="00C5697D" w:rsidP="00C5697D">
                  <w:pPr>
                    <w:jc w:val="center"/>
                  </w:pPr>
                  <w:r w:rsidRPr="00C5697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>Service : l’habilitation universitaire</w:t>
                  </w:r>
                  <w:r w:rsidRPr="00D803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0" type="#_x0000_t202" style="position:absolute;left:0;text-align:left;margin-left:-18.65pt;margin-top:65.75pt;width:243pt;height:121.6pt;z-index:251663360;mso-width-relative:margin;mso-height-relative:margin" fillcolor="white [3201]" strokecolor="#c2d69b [1942]" strokeweight="1pt">
            <v:fill color2="#d6e3bc [1302]" focusposition="1" focussize="" focus="100%" type="gradient"/>
            <v:shadow on="t" color="#4e6128 [1606]" opacity=".5" offset="-6pt,-6pt"/>
            <v:textbox>
              <w:txbxContent>
                <w:p w:rsidR="00C5697D" w:rsidRPr="00D80342" w:rsidRDefault="00C5697D" w:rsidP="00C5697D">
                  <w:pPr>
                    <w:jc w:val="center"/>
                    <w:rPr>
                      <w:rFonts w:ascii="Times New Roman" w:eastAsia="Times New Roman" w:hAnsi="Times New Roman" w:cs="Sultan normal"/>
                      <w:sz w:val="36"/>
                      <w:szCs w:val="36"/>
                      <w:lang w:eastAsia="fr-FR"/>
                    </w:rPr>
                  </w:pPr>
                  <w:r w:rsidRPr="00D80342">
                    <w:rPr>
                      <w:rFonts w:ascii="Times New Roman" w:eastAsia="Times New Roman" w:hAnsi="Times New Roman" w:cs="Sultan normal"/>
                      <w:sz w:val="36"/>
                      <w:szCs w:val="36"/>
                      <w:rtl/>
                      <w:lang w:eastAsia="fr-FR"/>
                    </w:rPr>
                    <w:t>مصلحة متابعة أنشطة البحث وتثمين نتائجه</w:t>
                  </w:r>
                </w:p>
                <w:p w:rsidR="00C5697D" w:rsidRPr="00C5697D" w:rsidRDefault="00C5697D" w:rsidP="00C5697D">
                  <w:pPr>
                    <w:jc w:val="center"/>
                    <w:rPr>
                      <w:sz w:val="32"/>
                      <w:szCs w:val="32"/>
                    </w:rPr>
                  </w:pPr>
                  <w:r w:rsidRPr="00C5697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>Service : suivi des activités de recherche et de la valorisation de ses résultats.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27" type="#_x0000_t202" style="position:absolute;left:0;text-align:left;margin-left:525.35pt;margin-top:65.75pt;width:243pt;height:121.6pt;z-index:251661312;mso-width-relative:margin;mso-height-relative:margin" fillcolor="white [3201]" strokecolor="#fabf8f [1945]" strokeweight="1pt">
            <v:fill color2="#fbd4b4 [1305]" focusposition="1" focussize="" focus="100%" type="gradient"/>
            <v:shadow on="t" color="#974706 [1609]" opacity=".5" offset="6pt,-6pt"/>
            <v:textbox>
              <w:txbxContent>
                <w:p w:rsidR="00D80342" w:rsidRPr="00D80342" w:rsidRDefault="00D80342" w:rsidP="00D8034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Sultan normal"/>
                      <w:sz w:val="36"/>
                      <w:szCs w:val="36"/>
                      <w:lang w:eastAsia="fr-FR"/>
                    </w:rPr>
                  </w:pPr>
                  <w:proofErr w:type="gramStart"/>
                  <w:r w:rsidRPr="00D80342">
                    <w:rPr>
                      <w:rFonts w:ascii="Times New Roman" w:eastAsia="Times New Roman" w:hAnsi="Times New Roman" w:cs="Sultan normal"/>
                      <w:sz w:val="36"/>
                      <w:szCs w:val="36"/>
                      <w:rtl/>
                      <w:lang w:eastAsia="fr-FR"/>
                    </w:rPr>
                    <w:t>مصلحة</w:t>
                  </w:r>
                  <w:proofErr w:type="gramEnd"/>
                  <w:r w:rsidRPr="00D80342">
                    <w:rPr>
                      <w:rFonts w:ascii="Times New Roman" w:eastAsia="Times New Roman" w:hAnsi="Times New Roman" w:cs="Sultan normal"/>
                      <w:sz w:val="36"/>
                      <w:szCs w:val="36"/>
                      <w:rtl/>
                      <w:lang w:eastAsia="fr-FR"/>
                    </w:rPr>
                    <w:t xml:space="preserve"> التكوين لما بعد التدّرج وما بعد التدّرج المتخصص</w:t>
                  </w:r>
                </w:p>
                <w:p w:rsidR="00D80342" w:rsidRPr="00C5697D" w:rsidRDefault="00D80342" w:rsidP="00C5697D">
                  <w:pPr>
                    <w:jc w:val="center"/>
                    <w:rPr>
                      <w:sz w:val="32"/>
                      <w:szCs w:val="32"/>
                    </w:rPr>
                  </w:pPr>
                  <w:r w:rsidRPr="00C5697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>Service : formation de</w:t>
                  </w:r>
                  <w:r w:rsidR="00C5697D" w:rsidRPr="00C5697D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C5697D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fr-FR"/>
                    </w:rPr>
                    <w:t>post-graduation et de  la post graduation spécialisée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2" type="#_x0000_t32" style="position:absolute;left:0;text-align:left;margin-left:100.35pt;margin-top:9.45pt;width:0;height:49.3pt;z-index:251665408" o:connectortype="straight" strokeweight="2pt">
            <v:stroke endarrow="block"/>
          </v:shape>
        </w:pict>
      </w:r>
      <w:r>
        <w:rPr>
          <w:noProof/>
          <w:rtl/>
          <w:lang w:eastAsia="fr-FR"/>
        </w:rPr>
        <w:pict>
          <v:shape id="_x0000_s1033" type="#_x0000_t32" style="position:absolute;left:0;text-align:left;margin-left:647.35pt;margin-top:9.45pt;width:0;height:49.3pt;z-index:251666432" o:connectortype="straight" strokeweight="2pt">
            <v:stroke endarrow="block"/>
          </v:shape>
        </w:pict>
      </w:r>
      <w:r>
        <w:rPr>
          <w:noProof/>
          <w:rtl/>
          <w:lang w:eastAsia="fr-FR"/>
        </w:rPr>
        <w:pict>
          <v:shape id="_x0000_s1035" type="#_x0000_t32" style="position:absolute;left:0;text-align:left;margin-left:618.75pt;margin-top:9.45pt;width:28.6pt;height:0;flip:x;z-index:251668480" o:connectortype="straight" strokeweight="2pt"/>
        </w:pict>
      </w:r>
      <w:r>
        <w:rPr>
          <w:noProof/>
          <w:rtl/>
          <w:lang w:eastAsia="fr-FR"/>
        </w:rPr>
        <w:pict>
          <v:shape id="_x0000_s1034" type="#_x0000_t32" style="position:absolute;left:0;text-align:left;margin-left:100.35pt;margin-top:9.45pt;width:28.6pt;height:0;flip:x;z-index:251667456" o:connectortype="straight" strokeweight="2pt"/>
        </w:pict>
      </w:r>
    </w:p>
    <w:sectPr w:rsidR="00D80342" w:rsidRPr="00D80342" w:rsidSect="00D80342">
      <w:pgSz w:w="16838" w:h="11906" w:orient="landscape"/>
      <w:pgMar w:top="1276" w:right="820" w:bottom="11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80342"/>
    <w:rsid w:val="002348E9"/>
    <w:rsid w:val="002E2FBC"/>
    <w:rsid w:val="0066734C"/>
    <w:rsid w:val="008E4533"/>
    <w:rsid w:val="008F40E3"/>
    <w:rsid w:val="009F7128"/>
    <w:rsid w:val="00AD63D8"/>
    <w:rsid w:val="00C5697D"/>
    <w:rsid w:val="00D44097"/>
    <w:rsid w:val="00D80342"/>
    <w:rsid w:val="00D8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5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3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03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2018-05-30T09:40:00Z</dcterms:created>
  <dcterms:modified xsi:type="dcterms:W3CDTF">2018-05-30T10:11:00Z</dcterms:modified>
</cp:coreProperties>
</file>